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様式第２号</w:t>
      </w:r>
    </w:p>
    <w:p>
      <w:pPr>
        <w:pStyle w:val="0"/>
        <w:spacing w:after="180" w:afterLines="50" w:afterAutospacing="0" w:line="500" w:lineRule="exact"/>
        <w:jc w:val="center"/>
        <w:rPr>
          <w:rFonts w:hint="default" w:ascii="メイリオ" w:hAnsi="メイリオ" w:eastAsia="メイリオ"/>
          <w:b w:val="1"/>
          <w:sz w:val="24"/>
        </w:rPr>
      </w:pPr>
      <w:r>
        <w:rPr>
          <w:rFonts w:hint="eastAsia" w:ascii="メイリオ" w:hAnsi="メイリオ" w:eastAsia="メイリオ"/>
          <w:b w:val="1"/>
          <w:sz w:val="40"/>
        </w:rPr>
        <w:t>提　案　書</w:t>
      </w:r>
    </w:p>
    <w:p>
      <w:pPr>
        <w:pStyle w:val="0"/>
        <w:spacing w:after="180" w:afterLines="50" w:afterAutospacing="0" w:line="300" w:lineRule="exact"/>
        <w:ind w:firstLine="240" w:firstLineChars="100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工事名称　令和８年度鹿沼市防災行政無線子局解体工</w:t>
      </w:r>
      <w:bookmarkStart w:id="0" w:name="_GoBack"/>
      <w:bookmarkEnd w:id="0"/>
      <w:r>
        <w:rPr>
          <w:rFonts w:hint="eastAsia" w:ascii="メイリオ" w:hAnsi="メイリオ" w:eastAsia="メイリオ"/>
          <w:sz w:val="24"/>
          <w:u w:val="single" w:color="auto"/>
        </w:rPr>
        <w:t>事（工事　場所：鹿沼市入粟野ほか）</w:t>
      </w:r>
    </w:p>
    <w:p>
      <w:pPr>
        <w:pStyle w:val="0"/>
        <w:spacing w:after="180" w:afterLines="50" w:afterAutospacing="0" w:line="300" w:lineRule="exact"/>
        <w:ind w:firstLine="240" w:firstLine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b w:val="1"/>
          <w:sz w:val="24"/>
          <w:u w:val="single" w:color="auto"/>
          <w:shd w:val="pct15" w:color="auto" w:fill="auto"/>
        </w:rPr>
        <w:t>下記の記載内容に相違ありません</w:t>
      </w:r>
      <w:r>
        <w:rPr>
          <w:rFonts w:hint="eastAsia" w:ascii="メイリオ" w:hAnsi="メイリオ" w:eastAsia="メイリオ"/>
          <w:sz w:val="24"/>
        </w:rPr>
        <w:t>。</w:t>
      </w:r>
    </w:p>
    <w:p>
      <w:pPr>
        <w:pStyle w:val="0"/>
        <w:spacing w:after="180" w:afterLines="50" w:afterAutospacing="0" w:line="300" w:lineRule="exact"/>
        <w:ind w:firstLine="240" w:firstLineChars="100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300" w:lineRule="exact"/>
        <w:ind w:firstLine="240" w:firstLineChars="100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事業者名　　　　　　　　　　　　　　　　　</w:t>
      </w:r>
    </w:p>
    <w:p>
      <w:pPr>
        <w:pStyle w:val="0"/>
        <w:spacing w:line="300" w:lineRule="exact"/>
        <w:rPr>
          <w:rFonts w:hint="default" w:ascii="メイリオ" w:hAnsi="メイリオ" w:eastAsia="メイリオ"/>
          <w:sz w:val="20"/>
          <w:u w:val="single" w:color="auto"/>
        </w:rPr>
      </w:pPr>
    </w:p>
    <w:tbl>
      <w:tblPr>
        <w:tblStyle w:val="21"/>
        <w:tblW w:w="10440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540"/>
        <w:gridCol w:w="1260"/>
        <w:gridCol w:w="2595"/>
        <w:gridCol w:w="6045"/>
      </w:tblGrid>
      <w:tr>
        <w:trPr>
          <w:trHeight w:val="357" w:hRule="atLeast"/>
        </w:trPr>
        <w:tc>
          <w:tcPr>
            <w:tcW w:w="5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</w:p>
        </w:tc>
        <w:tc>
          <w:tcPr>
            <w:tcW w:w="3855" w:type="dxa"/>
            <w:gridSpan w:val="2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評価項目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評価基準の概要（□に✓し必要事項を記入）</w:t>
            </w:r>
          </w:p>
        </w:tc>
      </w:tr>
      <w:tr>
        <w:trPr>
          <w:trHeight w:val="394" w:hRule="atLeast"/>
        </w:trPr>
        <w:tc>
          <w:tcPr>
            <w:tcW w:w="540" w:type="dxa"/>
            <w:vMerge w:val="restart"/>
            <w:textDirection w:val="tbRlV"/>
            <w:vAlign w:val="center"/>
          </w:tcPr>
          <w:p>
            <w:pPr>
              <w:pStyle w:val="0"/>
              <w:spacing w:line="300" w:lineRule="exact"/>
              <w:ind w:left="113" w:right="113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審査内容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施工業者</w:t>
            </w:r>
          </w:p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の能力</w:t>
            </w:r>
          </w:p>
        </w:tc>
        <w:tc>
          <w:tcPr>
            <w:tcW w:w="2595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解体工事実績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５年以内に民間工事を含め解体工事実績はあるか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□有　　　□無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※実績の資料（工事内容がわかるもの）を添付</w:t>
            </w:r>
          </w:p>
        </w:tc>
      </w:tr>
      <w:tr>
        <w:trPr>
          <w:trHeight w:val="394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ajorEastAsia" w:hAnsiTheme="majorEastAsia" w:eastAsiaTheme="majorEastAsia"/>
                <w:sz w:val="20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20"/>
              </w:rPr>
            </w:pPr>
          </w:p>
        </w:tc>
        <w:tc>
          <w:tcPr>
            <w:tcW w:w="2595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自社管理監督体制の</w:t>
            </w:r>
          </w:p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確立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自社により十分な管理監督体制が確立できるか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□できる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□できない（理由　　　　　　　　　　　　　　　　　　　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※解体実績における施工体系図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(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写し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)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を添付</w:t>
            </w:r>
          </w:p>
        </w:tc>
      </w:tr>
      <w:tr>
        <w:trPr>
          <w:trHeight w:val="1233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ajorEastAsia" w:hAnsiTheme="majorEastAsia" w:eastAsiaTheme="majorEastAsia"/>
                <w:sz w:val="20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20"/>
              </w:rPr>
            </w:pPr>
          </w:p>
        </w:tc>
        <w:tc>
          <w:tcPr>
            <w:tcW w:w="2595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産業廃棄物処理</w:t>
            </w:r>
          </w:p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（工事完成時にマニュフェスト</w:t>
            </w:r>
            <w:r>
              <w:rPr>
                <w:rFonts w:hint="eastAsia" w:ascii="メイリオ" w:hAnsi="メイリオ" w:eastAsia="メイリオ"/>
                <w:sz w:val="22"/>
              </w:rPr>
              <w:t>E</w:t>
            </w:r>
            <w:r>
              <w:rPr>
                <w:rFonts w:hint="eastAsia" w:ascii="メイリオ" w:hAnsi="メイリオ" w:eastAsia="メイリオ"/>
                <w:sz w:val="22"/>
              </w:rPr>
              <w:t>票まで添付）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適正な分別解体、産業廃棄物運搬処分について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□適正に施工できる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□適正に施工できない（内容　　　　　　　　　　　　　　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※産廃処理実績のマニフェスト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(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写し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)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を添付</w:t>
            </w:r>
          </w:p>
        </w:tc>
      </w:tr>
      <w:tr>
        <w:trPr>
          <w:trHeight w:val="392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ajorEastAsia" w:hAnsiTheme="majorEastAsia" w:eastAsiaTheme="majorEastAsia"/>
                <w:sz w:val="20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技術者</w:t>
            </w:r>
          </w:p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の能力</w:t>
            </w:r>
          </w:p>
        </w:tc>
        <w:tc>
          <w:tcPr>
            <w:tcW w:w="2595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主任技術者の</w:t>
            </w:r>
          </w:p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解体工事実績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過去５年以内に主任技術者の解体工事実績があるか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□有　　　□無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※解体実績の資料（工事内容がわかるもの）を添付</w:t>
            </w:r>
          </w:p>
        </w:tc>
      </w:tr>
      <w:tr>
        <w:trPr>
          <w:trHeight w:val="412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工事提案</w:t>
            </w:r>
          </w:p>
        </w:tc>
        <w:tc>
          <w:tcPr>
            <w:tcW w:w="2595" w:type="dxa"/>
            <w:vMerge w:val="restart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環境への配慮提案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ind w:left="2600" w:hanging="2600" w:hangingChars="1300"/>
              <w:jc w:val="lef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作業機器の低騒音及び</w:t>
            </w:r>
            <w:r>
              <w:rPr>
                <w:rFonts w:hint="eastAsia" w:ascii="メイリオ" w:hAnsi="メイリオ" w:eastAsia="メイリオ"/>
                <w:sz w:val="20"/>
              </w:rPr>
              <w:t>CO2</w:t>
            </w:r>
            <w:r>
              <w:rPr>
                <w:rFonts w:hint="eastAsia" w:ascii="メイリオ" w:hAnsi="メイリオ" w:eastAsia="メイリオ"/>
                <w:sz w:val="20"/>
              </w:rPr>
              <w:t>低排出への配慮（利用）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□できる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□できない（理由　　　　　　　　　　　　　　　　　　　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※低騒音や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CO2</w:t>
            </w: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低排出への配慮がわかる資料を添付</w:t>
            </w:r>
          </w:p>
        </w:tc>
      </w:tr>
      <w:tr>
        <w:trPr>
          <w:trHeight w:val="685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95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周辺住民の生活環境に配慮した交通規制方法と周知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□できる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□できない（理由　　　　　　　　　　　　　　　　　　　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※上記への配慮がわかる資料を添付</w:t>
            </w:r>
          </w:p>
        </w:tc>
      </w:tr>
      <w:tr>
        <w:trPr>
          <w:trHeight w:val="362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2595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安全性への配慮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重機使用時に監視要員（作業員でも可）を配置できるか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□できる　□できない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※監視員配置がわかる資料を添付</w:t>
            </w:r>
          </w:p>
        </w:tc>
      </w:tr>
      <w:tr>
        <w:trPr>
          <w:trHeight w:val="1013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95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スケジュール管理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要領で定められた工期を守るため、適切なスケジュール管理が行えるか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【評価とその係数】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sz w:val="20"/>
              </w:rPr>
              <w:t>A</w:t>
            </w:r>
            <w:r>
              <w:rPr>
                <w:rFonts w:hint="eastAsia" w:ascii="メイリオ" w:hAnsi="メイリオ" w:eastAsia="メイリオ"/>
                <w:sz w:val="20"/>
              </w:rPr>
              <w:t>＝</w:t>
            </w:r>
            <w:r>
              <w:rPr>
                <w:rFonts w:hint="eastAsia" w:ascii="メイリオ" w:hAnsi="メイリオ" w:eastAsia="メイリオ"/>
                <w:sz w:val="20"/>
              </w:rPr>
              <w:t>1.0</w:t>
            </w:r>
            <w:r>
              <w:rPr>
                <w:rFonts w:hint="eastAsia" w:ascii="メイリオ" w:hAnsi="メイリオ" w:eastAsia="メイリオ"/>
                <w:sz w:val="20"/>
              </w:rPr>
              <w:t>（工事工程表＋明確な遅延防止策がある）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sz w:val="20"/>
              </w:rPr>
              <w:t>B</w:t>
            </w:r>
            <w:r>
              <w:rPr>
                <w:rFonts w:hint="eastAsia" w:ascii="メイリオ" w:hAnsi="メイリオ" w:eastAsia="メイリオ"/>
                <w:sz w:val="20"/>
              </w:rPr>
              <w:t>＝</w:t>
            </w:r>
            <w:r>
              <w:rPr>
                <w:rFonts w:hint="eastAsia" w:ascii="メイリオ" w:hAnsi="メイリオ" w:eastAsia="メイリオ"/>
                <w:sz w:val="20"/>
              </w:rPr>
              <w:t>0.5</w:t>
            </w:r>
            <w:r>
              <w:rPr>
                <w:rFonts w:hint="eastAsia" w:ascii="メイリオ" w:hAnsi="メイリオ" w:eastAsia="メイリオ"/>
                <w:sz w:val="20"/>
              </w:rPr>
              <w:t>（工事工程表のみ）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sz w:val="20"/>
              </w:rPr>
              <w:t>C</w:t>
            </w:r>
            <w:r>
              <w:rPr>
                <w:rFonts w:hint="eastAsia" w:ascii="メイリオ" w:hAnsi="メイリオ" w:eastAsia="メイリオ"/>
                <w:sz w:val="20"/>
              </w:rPr>
              <w:t>＝</w:t>
            </w:r>
            <w:r>
              <w:rPr>
                <w:rFonts w:hint="eastAsia" w:ascii="メイリオ" w:hAnsi="メイリオ" w:eastAsia="メイリオ"/>
                <w:sz w:val="20"/>
              </w:rPr>
              <w:t>0</w:t>
            </w:r>
            <w:r>
              <w:rPr>
                <w:rFonts w:hint="eastAsia" w:ascii="メイリオ" w:hAnsi="メイリオ" w:eastAsia="メイリオ"/>
                <w:sz w:val="20"/>
              </w:rPr>
              <w:t>　（工事工程表も出せない）</w:t>
            </w:r>
          </w:p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  <w:u w:val="single" w:color="auto"/>
                <w:shd w:val="pct15" w:color="auto" w:fill="auto"/>
              </w:rPr>
              <w:t>※工事工程表及び遅延の防止を防ぐ提案内容を添付</w:t>
            </w:r>
          </w:p>
        </w:tc>
      </w:tr>
      <w:tr>
        <w:trPr>
          <w:trHeight w:val="593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見積書</w:t>
            </w:r>
          </w:p>
        </w:tc>
        <w:tc>
          <w:tcPr>
            <w:tcW w:w="2595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見積金額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見積金額　　　　　　　□別紙様式第３号添付</w:t>
            </w:r>
          </w:p>
        </w:tc>
      </w:tr>
    </w:tbl>
    <w:p>
      <w:pPr>
        <w:pStyle w:val="0"/>
        <w:spacing w:before="180" w:beforeLines="50" w:beforeAutospacing="0" w:line="300" w:lineRule="exact"/>
        <w:rPr>
          <w:rFonts w:hint="default" w:ascii="メイリオ" w:hAnsi="メイリオ" w:eastAsia="メイリオ"/>
          <w:sz w:val="28"/>
        </w:rPr>
      </w:pPr>
      <w:r>
        <w:rPr>
          <w:rFonts w:hint="eastAsia" w:ascii="メイリオ" w:hAnsi="メイリオ" w:eastAsia="メイリオ"/>
          <w:sz w:val="24"/>
        </w:rPr>
        <w:t>※提案書（様式第２号）、見積書（様式第３号）以外は</w:t>
      </w:r>
      <w:r>
        <w:rPr>
          <w:rFonts w:hint="eastAsia" w:ascii="メイリオ" w:hAnsi="メイリオ" w:eastAsia="メイリオ"/>
          <w:sz w:val="24"/>
          <w:u w:val="thick" w:color="auto"/>
          <w:shd w:val="pct15" w:color="auto" w:fill="auto"/>
        </w:rPr>
        <w:t>任意の書式</w:t>
      </w:r>
      <w:r>
        <w:rPr>
          <w:rFonts w:hint="eastAsia" w:ascii="メイリオ" w:hAnsi="メイリオ" w:eastAsia="メイリオ"/>
          <w:sz w:val="24"/>
          <w:u w:val="thick" w:color="auto"/>
        </w:rPr>
        <w:t>とします</w:t>
      </w:r>
      <w:r>
        <w:rPr>
          <w:rFonts w:hint="eastAsia" w:ascii="メイリオ" w:hAnsi="メイリオ" w:eastAsia="メイリオ"/>
          <w:sz w:val="24"/>
        </w:rPr>
        <w:t>。</w:t>
      </w:r>
    </w:p>
    <w:sectPr>
      <w:pgSz w:w="11906" w:h="16838"/>
      <w:pgMar w:top="1134" w:right="709" w:bottom="1134" w:left="794" w:header="283" w:footer="34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</TotalTime>
  <Pages>1</Pages>
  <Words>11</Words>
  <Characters>747</Characters>
  <Application>JUST Note</Application>
  <Lines>176</Lines>
  <Paragraphs>58</Paragraphs>
  <CharactersWithSpaces>854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髙木　悠博</cp:lastModifiedBy>
  <dcterms:modified xsi:type="dcterms:W3CDTF">2026-08-04T04:09:23Z</dcterms:modified>
  <cp:revision>2</cp:revision>
</cp:coreProperties>
</file>